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2A" w:rsidRPr="00717E48" w:rsidRDefault="008B2AC5" w:rsidP="00717E48">
      <w:pPr>
        <w:pStyle w:val="Heading1"/>
        <w:shd w:val="clear" w:color="auto" w:fill="FFFFFF" w:themeFill="background1"/>
        <w:rPr>
          <w:rFonts w:ascii="Arial" w:hAnsi="Arial" w:cs="Arial"/>
        </w:rPr>
      </w:pPr>
      <w:r w:rsidRPr="00717E48">
        <w:rPr>
          <w:rFonts w:ascii="Arial" w:hAnsi="Arial" w:cs="Arial"/>
        </w:rPr>
        <w:t>Enrolment Policy</w:t>
      </w:r>
    </w:p>
    <w:p w:rsidR="00A77DB8" w:rsidRPr="000927DF" w:rsidRDefault="00A77DB8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  <w:r w:rsidRPr="000927DF">
        <w:rPr>
          <w:rFonts w:ascii="Arial" w:hAnsi="Arial" w:cs="Arial"/>
          <w:b/>
          <w:sz w:val="20"/>
        </w:rPr>
        <w:t>Introduction</w:t>
      </w:r>
    </w:p>
    <w:p w:rsidR="00A77DB8" w:rsidRPr="00717E48" w:rsidRDefault="00A77DB8" w:rsidP="00717E4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Parents</w:t>
      </w:r>
      <w:r w:rsidR="00C54B94" w:rsidRPr="00717E48">
        <w:rPr>
          <w:rFonts w:ascii="Arial" w:hAnsi="Arial" w:cs="Arial"/>
          <w:sz w:val="20"/>
          <w:szCs w:val="20"/>
        </w:rPr>
        <w:t>/carers</w:t>
      </w:r>
      <w:r w:rsidRPr="00717E48">
        <w:rPr>
          <w:rFonts w:ascii="Arial" w:hAnsi="Arial" w:cs="Arial"/>
          <w:sz w:val="20"/>
          <w:szCs w:val="20"/>
        </w:rPr>
        <w:t xml:space="preserve"> may seek to enrol their child at the school of their choice.</w:t>
      </w:r>
    </w:p>
    <w:p w:rsidR="00A77DB8" w:rsidRPr="00717E48" w:rsidRDefault="00A77DB8" w:rsidP="00717E4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Children are entitled to be enrolled at the government school that is designated for the intake area</w:t>
      </w:r>
      <w:r w:rsidR="00C54B94" w:rsidRPr="00717E48">
        <w:rPr>
          <w:rFonts w:ascii="Arial" w:hAnsi="Arial" w:cs="Arial"/>
          <w:sz w:val="20"/>
          <w:szCs w:val="20"/>
        </w:rPr>
        <w:t xml:space="preserve"> in</w:t>
      </w:r>
      <w:r w:rsidRPr="00717E48">
        <w:rPr>
          <w:rFonts w:ascii="Arial" w:hAnsi="Arial" w:cs="Arial"/>
          <w:sz w:val="20"/>
          <w:szCs w:val="20"/>
        </w:rPr>
        <w:t xml:space="preserve"> which the child’s </w:t>
      </w:r>
      <w:r w:rsidRPr="00717E48">
        <w:rPr>
          <w:rFonts w:ascii="Arial" w:hAnsi="Arial" w:cs="Arial"/>
          <w:b/>
          <w:sz w:val="20"/>
          <w:szCs w:val="20"/>
        </w:rPr>
        <w:t>home</w:t>
      </w:r>
      <w:r w:rsidRPr="00717E48">
        <w:rPr>
          <w:rFonts w:ascii="Arial" w:hAnsi="Arial" w:cs="Arial"/>
          <w:sz w:val="20"/>
          <w:szCs w:val="20"/>
        </w:rPr>
        <w:t xml:space="preserve"> is situated and that the child is eligible to attend.</w:t>
      </w:r>
    </w:p>
    <w:p w:rsidR="00A77DB8" w:rsidRDefault="00A77DB8" w:rsidP="00717E4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No person will be discriminated against in enrolment on the grounds of their sex, age, race, religion, ethnicity, disability or sexual preference.</w:t>
      </w:r>
    </w:p>
    <w:p w:rsidR="000E0BA6" w:rsidRDefault="000E0BA6" w:rsidP="000E0BA6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0E0BA6" w:rsidRPr="000E0BA6" w:rsidRDefault="000E0BA6" w:rsidP="000E0BA6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0E0BA6">
        <w:rPr>
          <w:rFonts w:ascii="Arial" w:hAnsi="Arial" w:cs="Arial"/>
          <w:b/>
          <w:sz w:val="20"/>
        </w:rPr>
        <w:t>Non-Local Enrolments</w:t>
      </w:r>
    </w:p>
    <w:p w:rsidR="00E94345" w:rsidRPr="00E94345" w:rsidRDefault="000E0BA6" w:rsidP="00E94345">
      <w:pPr>
        <w:shd w:val="clear" w:color="auto" w:fill="FFFFFF" w:themeFill="background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Parents may apply for non-local enrolment in a school of their choice.  A school may only accept </w:t>
      </w:r>
      <w:r w:rsidR="000927DF">
        <w:rPr>
          <w:rFonts w:ascii="Arial" w:hAnsi="Arial" w:cs="Arial"/>
          <w:sz w:val="20"/>
        </w:rPr>
        <w:t xml:space="preserve">non-local </w:t>
      </w:r>
      <w:r>
        <w:rPr>
          <w:rFonts w:ascii="Arial" w:hAnsi="Arial" w:cs="Arial"/>
          <w:sz w:val="20"/>
        </w:rPr>
        <w:t>enrolments when there is sufficient permanent accommodation available to accommodate students as well as potential local enrolments</w:t>
      </w:r>
      <w:r w:rsidR="000927DF">
        <w:rPr>
          <w:rFonts w:ascii="Arial" w:hAnsi="Arial" w:cs="Arial"/>
          <w:sz w:val="20"/>
        </w:rPr>
        <w:t xml:space="preserve"> that may present during the year</w:t>
      </w:r>
      <w:r>
        <w:rPr>
          <w:rFonts w:ascii="Arial" w:hAnsi="Arial" w:cs="Arial"/>
          <w:sz w:val="20"/>
        </w:rPr>
        <w:t xml:space="preserve">. All schools are required to establish an enrolment ceiling and determine a buffer for potential enrolments. </w:t>
      </w: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b/>
          <w:sz w:val="20"/>
        </w:rPr>
        <w:t xml:space="preserve">Enrolment Ceiling </w:t>
      </w:r>
      <w:r w:rsidRPr="00717E48">
        <w:rPr>
          <w:rFonts w:ascii="Arial" w:hAnsi="Arial" w:cs="Arial"/>
          <w:sz w:val="20"/>
        </w:rPr>
        <w:t>(based on permanent</w:t>
      </w:r>
      <w:r w:rsidR="004173D8" w:rsidRPr="00717E48">
        <w:rPr>
          <w:rFonts w:ascii="Arial" w:hAnsi="Arial" w:cs="Arial"/>
          <w:sz w:val="20"/>
        </w:rPr>
        <w:t xml:space="preserve"> </w:t>
      </w:r>
      <w:r w:rsidR="00E50531">
        <w:rPr>
          <w:rFonts w:ascii="Arial" w:hAnsi="Arial" w:cs="Arial"/>
          <w:sz w:val="20"/>
        </w:rPr>
        <w:t>accommodation</w:t>
      </w:r>
      <w:r w:rsidR="00E94345">
        <w:rPr>
          <w:rFonts w:ascii="Arial" w:hAnsi="Arial" w:cs="Arial"/>
          <w:sz w:val="20"/>
        </w:rPr>
        <w:t xml:space="preserve"> for 2018</w:t>
      </w:r>
      <w:r w:rsidR="00E50531">
        <w:rPr>
          <w:rFonts w:ascii="Arial" w:hAnsi="Arial" w:cs="Arial"/>
          <w:sz w:val="20"/>
        </w:rPr>
        <w:t xml:space="preserve"> = 19</w:t>
      </w:r>
      <w:r w:rsidRPr="00717E48">
        <w:rPr>
          <w:rFonts w:ascii="Arial" w:hAnsi="Arial" w:cs="Arial"/>
          <w:sz w:val="20"/>
        </w:rPr>
        <w:t xml:space="preserve"> classr</w:t>
      </w:r>
      <w:r w:rsidR="000927DF">
        <w:rPr>
          <w:rFonts w:ascii="Arial" w:hAnsi="Arial" w:cs="Arial"/>
          <w:sz w:val="20"/>
        </w:rPr>
        <w:t xml:space="preserve">ooms): </w:t>
      </w:r>
      <w:r w:rsidR="007441E5">
        <w:rPr>
          <w:rFonts w:ascii="Arial" w:hAnsi="Arial" w:cs="Arial"/>
          <w:sz w:val="20"/>
        </w:rPr>
        <w:t xml:space="preserve">  502</w:t>
      </w: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</w:p>
    <w:p w:rsidR="00A77DB8" w:rsidRPr="00557631" w:rsidRDefault="00A77DB8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  <w:r w:rsidRPr="00717E48">
        <w:rPr>
          <w:rFonts w:ascii="Arial" w:hAnsi="Arial" w:cs="Arial"/>
          <w:b/>
          <w:sz w:val="20"/>
        </w:rPr>
        <w:t xml:space="preserve">Enrolment Buffer     </w:t>
      </w:r>
      <w:r w:rsidRPr="00717E48">
        <w:rPr>
          <w:rFonts w:ascii="Arial" w:hAnsi="Arial" w:cs="Arial"/>
          <w:sz w:val="20"/>
        </w:rPr>
        <w:t xml:space="preserve">A buffer of </w:t>
      </w:r>
      <w:r w:rsidR="007441E5">
        <w:rPr>
          <w:rFonts w:ascii="Arial" w:hAnsi="Arial" w:cs="Arial"/>
          <w:sz w:val="20"/>
        </w:rPr>
        <w:t>19</w:t>
      </w:r>
      <w:r w:rsidRPr="00717E48">
        <w:rPr>
          <w:rFonts w:ascii="Arial" w:hAnsi="Arial" w:cs="Arial"/>
          <w:sz w:val="20"/>
        </w:rPr>
        <w:t xml:space="preserve"> places will be kept to accommodate local students </w:t>
      </w:r>
      <w:r w:rsidR="000927DF">
        <w:rPr>
          <w:rFonts w:ascii="Arial" w:hAnsi="Arial" w:cs="Arial"/>
          <w:sz w:val="20"/>
        </w:rPr>
        <w:t>who</w:t>
      </w:r>
      <w:r w:rsidR="00CE7215" w:rsidRPr="00717E48">
        <w:rPr>
          <w:rFonts w:ascii="Arial" w:hAnsi="Arial" w:cs="Arial"/>
          <w:sz w:val="20"/>
        </w:rPr>
        <w:t xml:space="preserve"> ma</w:t>
      </w:r>
      <w:r w:rsidR="00CE7215">
        <w:rPr>
          <w:rFonts w:ascii="Arial" w:hAnsi="Arial" w:cs="Arial"/>
          <w:sz w:val="20"/>
        </w:rPr>
        <w:t xml:space="preserve">y arrive </w:t>
      </w:r>
      <w:proofErr w:type="spellStart"/>
      <w:r w:rsidR="00CE7215">
        <w:rPr>
          <w:rFonts w:ascii="Arial" w:hAnsi="Arial" w:cs="Arial"/>
          <w:sz w:val="20"/>
        </w:rPr>
        <w:t>throughought</w:t>
      </w:r>
      <w:proofErr w:type="spellEnd"/>
      <w:r w:rsidR="00CE7215">
        <w:rPr>
          <w:rFonts w:ascii="Arial" w:hAnsi="Arial" w:cs="Arial"/>
          <w:sz w:val="20"/>
        </w:rPr>
        <w:t xml:space="preserve"> the year.</w:t>
      </w:r>
      <w:r w:rsidRPr="00717E48">
        <w:rPr>
          <w:rFonts w:ascii="Arial" w:hAnsi="Arial" w:cs="Arial"/>
          <w:sz w:val="20"/>
        </w:rPr>
        <w:t xml:space="preserve"> Places in the buffer will not be offered to non-local students</w:t>
      </w:r>
      <w:r w:rsidR="00014213" w:rsidRPr="00717E48">
        <w:rPr>
          <w:rFonts w:ascii="Arial" w:hAnsi="Arial" w:cs="Arial"/>
          <w:sz w:val="20"/>
        </w:rPr>
        <w:t xml:space="preserve"> once classes have been established for the year</w:t>
      </w:r>
      <w:r w:rsidRPr="00717E48">
        <w:rPr>
          <w:rFonts w:ascii="Arial" w:hAnsi="Arial" w:cs="Arial"/>
          <w:sz w:val="20"/>
        </w:rPr>
        <w:t xml:space="preserve">. </w:t>
      </w:r>
      <w:r w:rsidR="006A5736">
        <w:rPr>
          <w:rFonts w:ascii="Arial" w:hAnsi="Arial" w:cs="Arial"/>
          <w:sz w:val="20"/>
        </w:rPr>
        <w:t xml:space="preserve"> </w:t>
      </w: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  <w:r w:rsidRPr="00717E48">
        <w:rPr>
          <w:rFonts w:ascii="Arial" w:hAnsi="Arial" w:cs="Arial"/>
          <w:b/>
          <w:sz w:val="20"/>
        </w:rPr>
        <w:t xml:space="preserve">Placement Panels       </w:t>
      </w:r>
      <w:r w:rsidRPr="00717E48">
        <w:rPr>
          <w:rFonts w:ascii="Arial" w:hAnsi="Arial" w:cs="Arial"/>
          <w:sz w:val="20"/>
        </w:rPr>
        <w:t xml:space="preserve">Where demand for non-local places exceeds availability the school will establish a placement panel to consider all non-local enrolment applications. The panel will comprise the Principal (or nominee), a staff representative and a school community member </w:t>
      </w:r>
      <w:r w:rsidR="00E2465F" w:rsidRPr="00717E48">
        <w:rPr>
          <w:rFonts w:ascii="Arial" w:hAnsi="Arial" w:cs="Arial"/>
          <w:sz w:val="20"/>
        </w:rPr>
        <w:t xml:space="preserve">(nominated by </w:t>
      </w:r>
      <w:proofErr w:type="gramStart"/>
      <w:r w:rsidR="00E2465F" w:rsidRPr="00717E48">
        <w:rPr>
          <w:rFonts w:ascii="Arial" w:hAnsi="Arial" w:cs="Arial"/>
          <w:sz w:val="20"/>
        </w:rPr>
        <w:t>the  P</w:t>
      </w:r>
      <w:proofErr w:type="gramEnd"/>
      <w:r w:rsidR="00E2465F" w:rsidRPr="00717E48">
        <w:rPr>
          <w:rFonts w:ascii="Arial" w:hAnsi="Arial" w:cs="Arial"/>
          <w:sz w:val="20"/>
        </w:rPr>
        <w:t>&amp;C</w:t>
      </w:r>
      <w:r w:rsidRPr="00717E48">
        <w:rPr>
          <w:rFonts w:ascii="Arial" w:hAnsi="Arial" w:cs="Arial"/>
          <w:sz w:val="20"/>
        </w:rPr>
        <w:t>).</w:t>
      </w:r>
      <w:r w:rsidR="002910FB">
        <w:rPr>
          <w:rFonts w:ascii="Arial" w:hAnsi="Arial" w:cs="Arial"/>
          <w:sz w:val="20"/>
        </w:rPr>
        <w:t xml:space="preserve"> </w:t>
      </w:r>
      <w:r w:rsidR="000E0BA6">
        <w:rPr>
          <w:rFonts w:ascii="Arial" w:hAnsi="Arial" w:cs="Arial"/>
          <w:sz w:val="20"/>
        </w:rPr>
        <w:t xml:space="preserve"> I</w:t>
      </w:r>
      <w:r w:rsidR="00557631">
        <w:rPr>
          <w:rFonts w:ascii="Arial" w:hAnsi="Arial" w:cs="Arial"/>
          <w:sz w:val="20"/>
        </w:rPr>
        <w:t xml:space="preserve">f there are no places available there will be no need for a panel to be formed. </w:t>
      </w: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  <w:r w:rsidRPr="00717E48">
        <w:rPr>
          <w:rFonts w:ascii="Arial" w:hAnsi="Arial" w:cs="Arial"/>
          <w:b/>
          <w:sz w:val="20"/>
        </w:rPr>
        <w:t>Criteria for consideration for Non-Local Enrolment Applications</w:t>
      </w:r>
      <w:r w:rsidR="00C27FF9">
        <w:rPr>
          <w:rFonts w:ascii="Arial" w:hAnsi="Arial" w:cs="Arial"/>
          <w:b/>
          <w:sz w:val="20"/>
        </w:rPr>
        <w:t xml:space="preserve"> include:</w:t>
      </w:r>
      <w:r w:rsidRPr="00717E48">
        <w:rPr>
          <w:rFonts w:ascii="Arial" w:hAnsi="Arial" w:cs="Arial"/>
          <w:b/>
          <w:sz w:val="20"/>
        </w:rPr>
        <w:t xml:space="preserve"> </w:t>
      </w:r>
    </w:p>
    <w:p w:rsidR="00A77DB8" w:rsidRPr="00717E48" w:rsidRDefault="00A77DB8" w:rsidP="00717E4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Siblings already enrolled at the school.</w:t>
      </w:r>
    </w:p>
    <w:p w:rsidR="00A77DB8" w:rsidRPr="00717E48" w:rsidRDefault="00A77DB8" w:rsidP="00717E4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Safety</w:t>
      </w:r>
      <w:r w:rsidR="00021076" w:rsidRPr="00717E48">
        <w:rPr>
          <w:rFonts w:ascii="Arial" w:hAnsi="Arial" w:cs="Arial"/>
          <w:sz w:val="20"/>
          <w:szCs w:val="20"/>
        </w:rPr>
        <w:t xml:space="preserve"> and Supervision of th</w:t>
      </w:r>
      <w:r w:rsidR="00E2465F" w:rsidRPr="00717E48">
        <w:rPr>
          <w:rFonts w:ascii="Arial" w:hAnsi="Arial" w:cs="Arial"/>
          <w:sz w:val="20"/>
          <w:szCs w:val="20"/>
        </w:rPr>
        <w:t xml:space="preserve">e student including OOSH access (where OOSH is not available in the local school).  Before and after school care is a significant community issue and will be considered </w:t>
      </w:r>
      <w:proofErr w:type="gramStart"/>
      <w:r w:rsidR="00E2465F" w:rsidRPr="00717E48">
        <w:rPr>
          <w:rFonts w:ascii="Arial" w:hAnsi="Arial" w:cs="Arial"/>
          <w:sz w:val="20"/>
          <w:szCs w:val="20"/>
        </w:rPr>
        <w:t>as a key criteria</w:t>
      </w:r>
      <w:proofErr w:type="gramEnd"/>
      <w:r w:rsidR="00E2465F" w:rsidRPr="00717E48">
        <w:rPr>
          <w:rFonts w:ascii="Arial" w:hAnsi="Arial" w:cs="Arial"/>
          <w:sz w:val="20"/>
          <w:szCs w:val="20"/>
        </w:rPr>
        <w:t xml:space="preserve"> in this process. </w:t>
      </w:r>
    </w:p>
    <w:p w:rsidR="00A77DB8" w:rsidRPr="00717E48" w:rsidRDefault="00A77DB8" w:rsidP="00717E4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Proximity and Access to the School - Where paren</w:t>
      </w:r>
      <w:r w:rsidR="00CE7215">
        <w:rPr>
          <w:rFonts w:ascii="Arial" w:hAnsi="Arial" w:cs="Arial"/>
          <w:sz w:val="20"/>
          <w:szCs w:val="20"/>
        </w:rPr>
        <w:t>t/s</w:t>
      </w:r>
      <w:r w:rsidRPr="00717E48">
        <w:rPr>
          <w:rFonts w:ascii="Arial" w:hAnsi="Arial" w:cs="Arial"/>
          <w:sz w:val="20"/>
          <w:szCs w:val="20"/>
        </w:rPr>
        <w:t xml:space="preserve"> work in the area and/or the local school is not a viable alternative.</w:t>
      </w:r>
    </w:p>
    <w:p w:rsidR="00A77DB8" w:rsidRPr="00717E48" w:rsidRDefault="00A77DB8" w:rsidP="00717E4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Medical Reasons</w:t>
      </w:r>
    </w:p>
    <w:p w:rsidR="00A77DB8" w:rsidRPr="00717E48" w:rsidRDefault="00A77DB8" w:rsidP="00717E4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Compassionate Circumstances - A</w:t>
      </w:r>
      <w:r w:rsidR="00014213" w:rsidRPr="00717E48">
        <w:rPr>
          <w:rFonts w:ascii="Arial" w:hAnsi="Arial" w:cs="Arial"/>
          <w:sz w:val="20"/>
          <w:szCs w:val="20"/>
        </w:rPr>
        <w:t>fter reports from the Principal or</w:t>
      </w:r>
      <w:r w:rsidRPr="00717E48">
        <w:rPr>
          <w:rFonts w:ascii="Arial" w:hAnsi="Arial" w:cs="Arial"/>
          <w:sz w:val="20"/>
          <w:szCs w:val="20"/>
        </w:rPr>
        <w:t xml:space="preserve"> School Counsellor of the school in </w:t>
      </w:r>
      <w:proofErr w:type="gramStart"/>
      <w:r w:rsidRPr="00717E48">
        <w:rPr>
          <w:rFonts w:ascii="Arial" w:hAnsi="Arial" w:cs="Arial"/>
          <w:sz w:val="20"/>
          <w:szCs w:val="20"/>
        </w:rPr>
        <w:t>which</w:t>
      </w:r>
      <w:proofErr w:type="gramEnd"/>
      <w:r w:rsidRPr="00717E48">
        <w:rPr>
          <w:rFonts w:ascii="Arial" w:hAnsi="Arial" w:cs="Arial"/>
          <w:sz w:val="20"/>
          <w:szCs w:val="20"/>
        </w:rPr>
        <w:t xml:space="preserve"> the child is presently enrolled have been received and assessed and current issues have been resolved.</w:t>
      </w:r>
    </w:p>
    <w:p w:rsidR="00A77DB8" w:rsidRPr="00717E48" w:rsidRDefault="00A77DB8" w:rsidP="00717E4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48">
        <w:rPr>
          <w:rFonts w:ascii="Arial" w:hAnsi="Arial" w:cs="Arial"/>
          <w:sz w:val="20"/>
          <w:szCs w:val="20"/>
        </w:rPr>
        <w:t>Structure and organisation of the school</w:t>
      </w:r>
    </w:p>
    <w:p w:rsidR="00A77DB8" w:rsidRPr="00717E48" w:rsidRDefault="00A77DB8" w:rsidP="00717E48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sz w:val="20"/>
        </w:rPr>
        <w:t xml:space="preserve">Application for </w:t>
      </w:r>
      <w:r w:rsidR="00990BC6" w:rsidRPr="00717E48">
        <w:rPr>
          <w:rFonts w:ascii="Arial" w:hAnsi="Arial" w:cs="Arial"/>
          <w:sz w:val="20"/>
        </w:rPr>
        <w:t>non-local enrolment</w:t>
      </w:r>
      <w:r w:rsidR="00173E45" w:rsidRPr="00717E48">
        <w:rPr>
          <w:rFonts w:ascii="Arial" w:hAnsi="Arial" w:cs="Arial"/>
          <w:sz w:val="20"/>
        </w:rPr>
        <w:t xml:space="preserve"> </w:t>
      </w:r>
      <w:r w:rsidR="00CE7215">
        <w:rPr>
          <w:rFonts w:ascii="Arial" w:hAnsi="Arial" w:cs="Arial"/>
          <w:sz w:val="20"/>
        </w:rPr>
        <w:t>will be declined</w:t>
      </w:r>
      <w:r w:rsidRPr="00717E48">
        <w:rPr>
          <w:rFonts w:ascii="Arial" w:hAnsi="Arial" w:cs="Arial"/>
          <w:sz w:val="20"/>
        </w:rPr>
        <w:t xml:space="preserve"> if placement generates demand for</w:t>
      </w:r>
      <w:r w:rsidR="00CE7215">
        <w:rPr>
          <w:rFonts w:ascii="Arial" w:hAnsi="Arial" w:cs="Arial"/>
          <w:sz w:val="20"/>
        </w:rPr>
        <w:t xml:space="preserve"> additional</w:t>
      </w:r>
      <w:r w:rsidRPr="00717E48">
        <w:rPr>
          <w:rFonts w:ascii="Arial" w:hAnsi="Arial" w:cs="Arial"/>
          <w:sz w:val="20"/>
        </w:rPr>
        <w:t xml:space="preserve"> staff</w:t>
      </w:r>
      <w:r w:rsidR="00990BC6" w:rsidRPr="00717E48">
        <w:rPr>
          <w:rFonts w:ascii="Arial" w:hAnsi="Arial" w:cs="Arial"/>
          <w:sz w:val="20"/>
        </w:rPr>
        <w:t xml:space="preserve"> once classes have been </w:t>
      </w:r>
      <w:proofErr w:type="gramStart"/>
      <w:r w:rsidR="00990BC6" w:rsidRPr="00717E48">
        <w:rPr>
          <w:rFonts w:ascii="Arial" w:hAnsi="Arial" w:cs="Arial"/>
          <w:sz w:val="20"/>
        </w:rPr>
        <w:t>formed</w:t>
      </w:r>
      <w:r w:rsidR="002B1EC6" w:rsidRPr="00717E48">
        <w:rPr>
          <w:rFonts w:ascii="Arial" w:hAnsi="Arial" w:cs="Arial"/>
          <w:sz w:val="20"/>
        </w:rPr>
        <w:t xml:space="preserve"> </w:t>
      </w:r>
      <w:r w:rsidRPr="00717E48">
        <w:rPr>
          <w:rFonts w:ascii="Arial" w:hAnsi="Arial" w:cs="Arial"/>
          <w:sz w:val="20"/>
        </w:rPr>
        <w:t xml:space="preserve"> or</w:t>
      </w:r>
      <w:proofErr w:type="gramEnd"/>
      <w:r w:rsidRPr="00717E48">
        <w:rPr>
          <w:rFonts w:ascii="Arial" w:hAnsi="Arial" w:cs="Arial"/>
          <w:sz w:val="20"/>
        </w:rPr>
        <w:t xml:space="preserve"> creates disruption to school routine and organisation.</w:t>
      </w:r>
      <w:r w:rsidR="002B1EC6" w:rsidRPr="00717E48">
        <w:rPr>
          <w:rFonts w:ascii="Arial" w:hAnsi="Arial" w:cs="Arial"/>
          <w:sz w:val="20"/>
        </w:rPr>
        <w:t xml:space="preserve"> </w:t>
      </w: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</w:p>
    <w:p w:rsidR="00A77DB8" w:rsidRPr="00717E48" w:rsidRDefault="00074D95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sz w:val="20"/>
        </w:rPr>
        <w:t>A ceiling for each class</w:t>
      </w:r>
      <w:r w:rsidR="00A77DB8" w:rsidRPr="00717E48">
        <w:rPr>
          <w:rFonts w:ascii="Arial" w:hAnsi="Arial" w:cs="Arial"/>
          <w:sz w:val="20"/>
        </w:rPr>
        <w:t xml:space="preserve"> based on </w:t>
      </w:r>
      <w:r w:rsidR="002910FB">
        <w:rPr>
          <w:rFonts w:ascii="Arial" w:hAnsi="Arial" w:cs="Arial"/>
          <w:sz w:val="20"/>
        </w:rPr>
        <w:t>Department of Education</w:t>
      </w:r>
      <w:r w:rsidR="00A77DB8" w:rsidRPr="00717E48">
        <w:rPr>
          <w:rFonts w:ascii="Arial" w:hAnsi="Arial" w:cs="Arial"/>
          <w:sz w:val="20"/>
        </w:rPr>
        <w:t xml:space="preserve"> Staffing formula will apply to all non-local enrolments.</w:t>
      </w:r>
    </w:p>
    <w:p w:rsidR="00A77DB8" w:rsidRPr="00717E4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</w:p>
    <w:p w:rsidR="00A77DB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b/>
          <w:sz w:val="20"/>
        </w:rPr>
        <w:t xml:space="preserve">Special Needs    </w:t>
      </w:r>
      <w:r w:rsidRPr="00717E48">
        <w:rPr>
          <w:rFonts w:ascii="Arial" w:hAnsi="Arial" w:cs="Arial"/>
          <w:sz w:val="20"/>
        </w:rPr>
        <w:t>Where a student with special ne</w:t>
      </w:r>
      <w:r w:rsidR="00A12173" w:rsidRPr="00717E48">
        <w:rPr>
          <w:rFonts w:ascii="Arial" w:hAnsi="Arial" w:cs="Arial"/>
          <w:sz w:val="20"/>
        </w:rPr>
        <w:t>eds applies for enrolment an</w:t>
      </w:r>
      <w:r w:rsidRPr="00717E48">
        <w:rPr>
          <w:rFonts w:ascii="Arial" w:hAnsi="Arial" w:cs="Arial"/>
          <w:sz w:val="20"/>
        </w:rPr>
        <w:t xml:space="preserve"> assess</w:t>
      </w:r>
      <w:r w:rsidR="00A12173" w:rsidRPr="00717E48">
        <w:rPr>
          <w:rFonts w:ascii="Arial" w:hAnsi="Arial" w:cs="Arial"/>
          <w:sz w:val="20"/>
        </w:rPr>
        <w:t>ment of the student’s needs may</w:t>
      </w:r>
      <w:r w:rsidRPr="00717E48">
        <w:rPr>
          <w:rFonts w:ascii="Arial" w:hAnsi="Arial" w:cs="Arial"/>
          <w:sz w:val="20"/>
        </w:rPr>
        <w:t xml:space="preserve"> be required to deter</w:t>
      </w:r>
      <w:r w:rsidR="00717E48">
        <w:rPr>
          <w:rFonts w:ascii="Arial" w:hAnsi="Arial" w:cs="Arial"/>
          <w:sz w:val="20"/>
        </w:rPr>
        <w:t xml:space="preserve">mine the ability of the school </w:t>
      </w:r>
      <w:r w:rsidRPr="00717E48">
        <w:rPr>
          <w:rFonts w:ascii="Arial" w:hAnsi="Arial" w:cs="Arial"/>
          <w:sz w:val="20"/>
        </w:rPr>
        <w:t>to effectively meet the child’s needs.</w:t>
      </w:r>
      <w:r w:rsidR="00557631">
        <w:rPr>
          <w:rFonts w:ascii="Arial" w:hAnsi="Arial" w:cs="Arial"/>
          <w:sz w:val="20"/>
        </w:rPr>
        <w:t xml:space="preserve"> Parents of children with special needs are encouraged to notify the school as early as possible to enable the school to plan to meet the student’s needs. </w:t>
      </w:r>
    </w:p>
    <w:p w:rsidR="00557631" w:rsidRPr="00040AA2" w:rsidRDefault="00557631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</w:p>
    <w:p w:rsidR="00A77DB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b/>
          <w:sz w:val="20"/>
        </w:rPr>
        <w:t xml:space="preserve">Feedback           </w:t>
      </w:r>
      <w:r w:rsidRPr="00717E48">
        <w:rPr>
          <w:rFonts w:ascii="Arial" w:hAnsi="Arial" w:cs="Arial"/>
          <w:sz w:val="20"/>
        </w:rPr>
        <w:t>Parents will be provided with an explanation of the decision</w:t>
      </w:r>
      <w:r w:rsidR="00415116">
        <w:rPr>
          <w:rFonts w:ascii="Arial" w:hAnsi="Arial" w:cs="Arial"/>
          <w:sz w:val="20"/>
        </w:rPr>
        <w:t xml:space="preserve"> of the placement panel.</w:t>
      </w:r>
    </w:p>
    <w:p w:rsidR="00557631" w:rsidRPr="00040AA2" w:rsidRDefault="00557631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</w:p>
    <w:p w:rsidR="00A77DB8" w:rsidRDefault="00A77DB8" w:rsidP="00717E48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b/>
          <w:sz w:val="20"/>
        </w:rPr>
        <w:t xml:space="preserve">Waiting Lists     </w:t>
      </w:r>
      <w:r w:rsidRPr="00717E48">
        <w:rPr>
          <w:rFonts w:ascii="Arial" w:hAnsi="Arial" w:cs="Arial"/>
          <w:sz w:val="20"/>
        </w:rPr>
        <w:t xml:space="preserve">Waiting lists may be established </w:t>
      </w:r>
      <w:r w:rsidR="00415116">
        <w:rPr>
          <w:rFonts w:ascii="Arial" w:hAnsi="Arial" w:cs="Arial"/>
          <w:sz w:val="20"/>
        </w:rPr>
        <w:t>for non-local students. Parents</w:t>
      </w:r>
      <w:r w:rsidRPr="00717E48">
        <w:rPr>
          <w:rFonts w:ascii="Arial" w:hAnsi="Arial" w:cs="Arial"/>
          <w:sz w:val="20"/>
        </w:rPr>
        <w:t xml:space="preserve"> </w:t>
      </w:r>
      <w:r w:rsidR="00415116">
        <w:rPr>
          <w:rFonts w:ascii="Arial" w:hAnsi="Arial" w:cs="Arial"/>
          <w:sz w:val="20"/>
        </w:rPr>
        <w:t xml:space="preserve">will be </w:t>
      </w:r>
      <w:r w:rsidRPr="00717E48">
        <w:rPr>
          <w:rFonts w:ascii="Arial" w:hAnsi="Arial" w:cs="Arial"/>
          <w:sz w:val="20"/>
        </w:rPr>
        <w:t>advised if their child is to be placed on a waiting list. Waiting lists are current for one year.</w:t>
      </w:r>
    </w:p>
    <w:p w:rsidR="00557631" w:rsidRPr="00717E48" w:rsidRDefault="00557631" w:rsidP="00717E48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</w:p>
    <w:p w:rsidR="00040AA2" w:rsidRDefault="00A77DB8" w:rsidP="00040AA2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 w:rsidRPr="00717E48">
        <w:rPr>
          <w:rFonts w:ascii="Arial" w:hAnsi="Arial" w:cs="Arial"/>
          <w:b/>
          <w:sz w:val="20"/>
        </w:rPr>
        <w:t xml:space="preserve">Appeals      </w:t>
      </w:r>
      <w:r w:rsidRPr="00717E48">
        <w:rPr>
          <w:rFonts w:ascii="Arial" w:hAnsi="Arial" w:cs="Arial"/>
          <w:sz w:val="20"/>
        </w:rPr>
        <w:t>Where a parent wishes to appeal against the decision of the placement panel, the appeal should be made in writing to the Principal. If the matter is not resolve</w:t>
      </w:r>
      <w:r w:rsidR="002910FB">
        <w:rPr>
          <w:rFonts w:ascii="Arial" w:hAnsi="Arial" w:cs="Arial"/>
          <w:sz w:val="20"/>
        </w:rPr>
        <w:t>d at the local level the</w:t>
      </w:r>
      <w:r w:rsidRPr="00717E48">
        <w:rPr>
          <w:rFonts w:ascii="Arial" w:hAnsi="Arial" w:cs="Arial"/>
          <w:sz w:val="20"/>
        </w:rPr>
        <w:t xml:space="preserve"> Director</w:t>
      </w:r>
      <w:r w:rsidR="002910FB">
        <w:rPr>
          <w:rFonts w:ascii="Arial" w:hAnsi="Arial" w:cs="Arial"/>
          <w:sz w:val="20"/>
        </w:rPr>
        <w:t>, Public Schools NSW</w:t>
      </w:r>
      <w:r w:rsidRPr="00717E48">
        <w:rPr>
          <w:rFonts w:ascii="Arial" w:hAnsi="Arial" w:cs="Arial"/>
          <w:sz w:val="20"/>
        </w:rPr>
        <w:t xml:space="preserve"> will consider the appeal and make a determination.</w:t>
      </w:r>
    </w:p>
    <w:p w:rsidR="00557631" w:rsidRDefault="00557631" w:rsidP="00040AA2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</w:p>
    <w:p w:rsidR="00557631" w:rsidRPr="00557631" w:rsidRDefault="00557631" w:rsidP="00040AA2">
      <w:pPr>
        <w:shd w:val="clear" w:color="auto" w:fill="FFFFFF" w:themeFill="background1"/>
        <w:contextualSpacing/>
        <w:rPr>
          <w:rFonts w:ascii="Arial" w:hAnsi="Arial" w:cs="Arial"/>
          <w:b/>
          <w:sz w:val="20"/>
        </w:rPr>
      </w:pPr>
      <w:r w:rsidRPr="00557631">
        <w:rPr>
          <w:rFonts w:ascii="Arial" w:hAnsi="Arial" w:cs="Arial"/>
          <w:b/>
          <w:sz w:val="20"/>
        </w:rPr>
        <w:t>Sibling Enrolment</w:t>
      </w:r>
    </w:p>
    <w:p w:rsidR="00B4606D" w:rsidRPr="00557631" w:rsidRDefault="0084760A" w:rsidP="002654DE">
      <w:pPr>
        <w:shd w:val="clear" w:color="auto" w:fill="FFFFFF" w:themeFill="background1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enrolment of a non-local student does not automatically guarantee a place for younger siblings.  This also applies to families who move out of the enrolment zone prior to a subsequent student enrolling. . </w:t>
      </w:r>
      <w:bookmarkStart w:id="0" w:name="_GoBack"/>
      <w:bookmarkEnd w:id="0"/>
    </w:p>
    <w:sectPr w:rsidR="00B4606D" w:rsidRPr="00557631" w:rsidSect="002654DE">
      <w:headerReference w:type="default" r:id="rId8"/>
      <w:footerReference w:type="default" r:id="rId9"/>
      <w:pgSz w:w="11907" w:h="16840"/>
      <w:pgMar w:top="1134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88" w:rsidRDefault="00241D88">
      <w:r>
        <w:separator/>
      </w:r>
    </w:p>
  </w:endnote>
  <w:endnote w:type="continuationSeparator" w:id="0">
    <w:p w:rsidR="00241D88" w:rsidRDefault="002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9" w:rsidRDefault="0084760A">
    <w:pPr>
      <w:pStyle w:val="Footer"/>
    </w:pPr>
    <w:r>
      <w:t>4/03/2017</w:t>
    </w:r>
  </w:p>
  <w:p w:rsidR="0066062A" w:rsidRPr="00631D01" w:rsidRDefault="0066062A" w:rsidP="00FD6FDD">
    <w:pPr>
      <w:pStyle w:val="Footer"/>
      <w:jc w:val="lef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88" w:rsidRDefault="00241D88">
      <w:r>
        <w:separator/>
      </w:r>
    </w:p>
  </w:footnote>
  <w:footnote w:type="continuationSeparator" w:id="0">
    <w:p w:rsidR="00241D88" w:rsidRDefault="0024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C5" w:rsidRPr="00415A87" w:rsidRDefault="008B2AC5" w:rsidP="008B2AC5">
    <w:pPr>
      <w:framePr w:hSpace="181" w:wrap="around" w:vAnchor="page" w:hAnchor="page" w:x="525" w:y="736" w:anchorLock="1"/>
      <w:rPr>
        <w:rFonts w:ascii="Arial" w:hAnsi="Arial" w:cs="Arial"/>
        <w:noProof/>
        <w:sz w:val="72"/>
        <w:szCs w:val="72"/>
      </w:rPr>
    </w:pPr>
    <w:r>
      <w:rPr>
        <w:rFonts w:ascii="Arial" w:hAnsi="Arial" w:cs="Arial"/>
        <w:noProof/>
      </w:rPr>
      <w:drawing>
        <wp:inline distT="0" distB="0" distL="0" distR="0" wp14:anchorId="35B53C76" wp14:editId="04DD3B3C">
          <wp:extent cx="552450" cy="542925"/>
          <wp:effectExtent l="19050" t="0" r="0" b="0"/>
          <wp:docPr id="1" name="Picture 1" descr="black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062A" w:rsidRPr="00ED62C5" w:rsidRDefault="008B2AC5" w:rsidP="008B2AC5">
    <w:pPr>
      <w:pStyle w:val="Header"/>
      <w:jc w:val="both"/>
      <w:rPr>
        <w:rFonts w:ascii="Arial" w:hAnsi="Arial" w:cs="Arial"/>
      </w:rPr>
    </w:pPr>
    <w:r w:rsidRPr="00415A87">
      <w:rPr>
        <w:rFonts w:ascii="Arial" w:hAnsi="Arial" w:cs="Arial"/>
        <w:b w:val="0"/>
        <w:sz w:val="72"/>
        <w:szCs w:val="72"/>
      </w:rPr>
      <w:t>Belair Public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64E9CA"/>
    <w:lvl w:ilvl="0">
      <w:numFmt w:val="bullet"/>
      <w:lvlText w:val="*"/>
      <w:lvlJc w:val="left"/>
    </w:lvl>
  </w:abstractNum>
  <w:abstractNum w:abstractNumId="1">
    <w:nsid w:val="0D9B3113"/>
    <w:multiLevelType w:val="hybridMultilevel"/>
    <w:tmpl w:val="E8604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57E"/>
    <w:multiLevelType w:val="hybridMultilevel"/>
    <w:tmpl w:val="DC9A8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142"/>
    <w:multiLevelType w:val="hybridMultilevel"/>
    <w:tmpl w:val="C64A9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ED64ED"/>
    <w:multiLevelType w:val="hybridMultilevel"/>
    <w:tmpl w:val="239A2696"/>
    <w:lvl w:ilvl="0" w:tplc="C2ACE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34611"/>
    <w:multiLevelType w:val="hybridMultilevel"/>
    <w:tmpl w:val="FBC0A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5"/>
    <w:rsid w:val="00014213"/>
    <w:rsid w:val="00021076"/>
    <w:rsid w:val="00040AA2"/>
    <w:rsid w:val="000543E3"/>
    <w:rsid w:val="00074D95"/>
    <w:rsid w:val="000927DF"/>
    <w:rsid w:val="000E0BA6"/>
    <w:rsid w:val="00146D24"/>
    <w:rsid w:val="00173E45"/>
    <w:rsid w:val="001C0992"/>
    <w:rsid w:val="001F6DEE"/>
    <w:rsid w:val="001F6ED8"/>
    <w:rsid w:val="001F7F63"/>
    <w:rsid w:val="00241D88"/>
    <w:rsid w:val="00243259"/>
    <w:rsid w:val="002654DE"/>
    <w:rsid w:val="00281368"/>
    <w:rsid w:val="002910FB"/>
    <w:rsid w:val="002A1BA5"/>
    <w:rsid w:val="002A2B4D"/>
    <w:rsid w:val="002B1EC6"/>
    <w:rsid w:val="00306380"/>
    <w:rsid w:val="00310F5B"/>
    <w:rsid w:val="00384A61"/>
    <w:rsid w:val="003D025F"/>
    <w:rsid w:val="00415116"/>
    <w:rsid w:val="00416729"/>
    <w:rsid w:val="004173D8"/>
    <w:rsid w:val="00557631"/>
    <w:rsid w:val="006255AA"/>
    <w:rsid w:val="00627486"/>
    <w:rsid w:val="00631D01"/>
    <w:rsid w:val="00634D23"/>
    <w:rsid w:val="00643139"/>
    <w:rsid w:val="006508BD"/>
    <w:rsid w:val="0065300A"/>
    <w:rsid w:val="0066062A"/>
    <w:rsid w:val="006A16AF"/>
    <w:rsid w:val="006A5736"/>
    <w:rsid w:val="006E50CB"/>
    <w:rsid w:val="006F6A63"/>
    <w:rsid w:val="006F6F0D"/>
    <w:rsid w:val="00714784"/>
    <w:rsid w:val="00717E48"/>
    <w:rsid w:val="007441E5"/>
    <w:rsid w:val="00780597"/>
    <w:rsid w:val="007D5B6E"/>
    <w:rsid w:val="007E1A9F"/>
    <w:rsid w:val="008411E7"/>
    <w:rsid w:val="0084760A"/>
    <w:rsid w:val="008B2AC5"/>
    <w:rsid w:val="00942D88"/>
    <w:rsid w:val="00990BC6"/>
    <w:rsid w:val="00995D3F"/>
    <w:rsid w:val="009D2BE4"/>
    <w:rsid w:val="00A12173"/>
    <w:rsid w:val="00A77DB8"/>
    <w:rsid w:val="00AD1737"/>
    <w:rsid w:val="00B4606D"/>
    <w:rsid w:val="00BC072A"/>
    <w:rsid w:val="00C27FF9"/>
    <w:rsid w:val="00C54B94"/>
    <w:rsid w:val="00CC06D6"/>
    <w:rsid w:val="00CE7215"/>
    <w:rsid w:val="00D9632D"/>
    <w:rsid w:val="00E13679"/>
    <w:rsid w:val="00E2465F"/>
    <w:rsid w:val="00E27BB4"/>
    <w:rsid w:val="00E50531"/>
    <w:rsid w:val="00E94345"/>
    <w:rsid w:val="00ED62C5"/>
    <w:rsid w:val="00F96B9B"/>
    <w:rsid w:val="00FC415F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Indent"/>
    <w:qFormat/>
    <w:pPr>
      <w:spacing w:after="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</w:tabs>
      <w:jc w:val="right"/>
    </w:pPr>
    <w:rPr>
      <w:i/>
      <w:sz w:val="20"/>
    </w:rPr>
  </w:style>
  <w:style w:type="paragraph" w:styleId="Header">
    <w:name w:val="header"/>
    <w:basedOn w:val="Normal"/>
    <w:semiHidden/>
    <w:pPr>
      <w:tabs>
        <w:tab w:val="center" w:pos="4252"/>
      </w:tabs>
      <w:jc w:val="right"/>
    </w:pPr>
    <w:rPr>
      <w:rFonts w:ascii="Times New Roman" w:hAnsi="Times New Roman"/>
      <w:b/>
      <w:sz w:val="20"/>
    </w:rPr>
  </w:style>
  <w:style w:type="paragraph" w:customStyle="1" w:styleId="Refer">
    <w:name w:val="Refer"/>
    <w:basedOn w:val="Normal"/>
    <w:pPr>
      <w:framePr w:w="8188" w:hSpace="181" w:wrap="around" w:hAnchor="text" w:yAlign="bottom"/>
      <w:tabs>
        <w:tab w:val="left" w:pos="851"/>
      </w:tabs>
      <w:ind w:left="1134" w:hanging="1134"/>
      <w:jc w:val="left"/>
    </w:pPr>
    <w:rPr>
      <w:lang w:val="en-GB"/>
    </w:rPr>
  </w:style>
  <w:style w:type="paragraph" w:customStyle="1" w:styleId="seealso">
    <w:name w:val="seealso"/>
    <w:basedOn w:val="Normal"/>
    <w:pPr>
      <w:framePr w:hSpace="181" w:wrap="around" w:vAnchor="page" w:hAnchor="text" w:xAlign="right" w:y="12759"/>
      <w:tabs>
        <w:tab w:val="left" w:pos="1135"/>
      </w:tabs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2C5"/>
    <w:rPr>
      <w:rFonts w:ascii="Tahoma" w:hAnsi="Tahoma" w:cs="Tahoma"/>
      <w:sz w:val="16"/>
      <w:szCs w:val="16"/>
    </w:rPr>
  </w:style>
  <w:style w:type="paragraph" w:customStyle="1" w:styleId="dotpoints">
    <w:name w:val="dot points"/>
    <w:basedOn w:val="Normal"/>
    <w:pPr>
      <w:ind w:left="993" w:hanging="284"/>
    </w:pPr>
    <w:rPr>
      <w:lang w:val="en-GB"/>
    </w:rPr>
  </w:style>
  <w:style w:type="paragraph" w:customStyle="1" w:styleId="SeeAlso0">
    <w:name w:val="SeeAlso"/>
    <w:basedOn w:val="Normal"/>
    <w:pPr>
      <w:framePr w:w="3402" w:hSpace="181" w:wrap="auto" w:vAnchor="page" w:hAnchor="margin" w:xAlign="right" w:y="14175"/>
      <w:tabs>
        <w:tab w:val="left" w:pos="1134"/>
      </w:tabs>
      <w:jc w:val="left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C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6FDD"/>
    <w:rPr>
      <w:rFonts w:ascii="Book Antiqua" w:hAnsi="Book Antiqua"/>
      <w:i/>
    </w:rPr>
  </w:style>
  <w:style w:type="table" w:styleId="TableGrid">
    <w:name w:val="Table Grid"/>
    <w:basedOn w:val="TableNormal"/>
    <w:rsid w:val="008B2A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25F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Indent"/>
    <w:qFormat/>
    <w:pPr>
      <w:spacing w:after="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</w:tabs>
      <w:jc w:val="right"/>
    </w:pPr>
    <w:rPr>
      <w:i/>
      <w:sz w:val="20"/>
    </w:rPr>
  </w:style>
  <w:style w:type="paragraph" w:styleId="Header">
    <w:name w:val="header"/>
    <w:basedOn w:val="Normal"/>
    <w:semiHidden/>
    <w:pPr>
      <w:tabs>
        <w:tab w:val="center" w:pos="4252"/>
      </w:tabs>
      <w:jc w:val="right"/>
    </w:pPr>
    <w:rPr>
      <w:rFonts w:ascii="Times New Roman" w:hAnsi="Times New Roman"/>
      <w:b/>
      <w:sz w:val="20"/>
    </w:rPr>
  </w:style>
  <w:style w:type="paragraph" w:customStyle="1" w:styleId="Refer">
    <w:name w:val="Refer"/>
    <w:basedOn w:val="Normal"/>
    <w:pPr>
      <w:framePr w:w="8188" w:hSpace="181" w:wrap="around" w:hAnchor="text" w:yAlign="bottom"/>
      <w:tabs>
        <w:tab w:val="left" w:pos="851"/>
      </w:tabs>
      <w:ind w:left="1134" w:hanging="1134"/>
      <w:jc w:val="left"/>
    </w:pPr>
    <w:rPr>
      <w:lang w:val="en-GB"/>
    </w:rPr>
  </w:style>
  <w:style w:type="paragraph" w:customStyle="1" w:styleId="seealso">
    <w:name w:val="seealso"/>
    <w:basedOn w:val="Normal"/>
    <w:pPr>
      <w:framePr w:hSpace="181" w:wrap="around" w:vAnchor="page" w:hAnchor="text" w:xAlign="right" w:y="12759"/>
      <w:tabs>
        <w:tab w:val="left" w:pos="1135"/>
      </w:tabs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2C5"/>
    <w:rPr>
      <w:rFonts w:ascii="Tahoma" w:hAnsi="Tahoma" w:cs="Tahoma"/>
      <w:sz w:val="16"/>
      <w:szCs w:val="16"/>
    </w:rPr>
  </w:style>
  <w:style w:type="paragraph" w:customStyle="1" w:styleId="dotpoints">
    <w:name w:val="dot points"/>
    <w:basedOn w:val="Normal"/>
    <w:pPr>
      <w:ind w:left="993" w:hanging="284"/>
    </w:pPr>
    <w:rPr>
      <w:lang w:val="en-GB"/>
    </w:rPr>
  </w:style>
  <w:style w:type="paragraph" w:customStyle="1" w:styleId="SeeAlso0">
    <w:name w:val="SeeAlso"/>
    <w:basedOn w:val="Normal"/>
    <w:pPr>
      <w:framePr w:w="3402" w:hSpace="181" w:wrap="auto" w:vAnchor="page" w:hAnchor="margin" w:xAlign="right" w:y="14175"/>
      <w:tabs>
        <w:tab w:val="left" w:pos="1134"/>
      </w:tabs>
      <w:jc w:val="left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C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6FDD"/>
    <w:rPr>
      <w:rFonts w:ascii="Book Antiqua" w:hAnsi="Book Antiqua"/>
      <w:i/>
    </w:rPr>
  </w:style>
  <w:style w:type="table" w:styleId="TableGrid">
    <w:name w:val="Table Grid"/>
    <w:basedOn w:val="TableNormal"/>
    <w:rsid w:val="008B2A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25F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TEMPLATE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83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ENROLMENTS – YEARS 1–6</vt:lpstr>
    </vt:vector>
  </TitlesOfParts>
  <Company>DET NSW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ENROLMENTS – YEARS 1–6</dc:title>
  <dc:creator>Belair Public School</dc:creator>
  <cp:lastModifiedBy>Beard, Warwick</cp:lastModifiedBy>
  <cp:revision>7</cp:revision>
  <cp:lastPrinted>2015-06-15T03:58:00Z</cp:lastPrinted>
  <dcterms:created xsi:type="dcterms:W3CDTF">2016-06-19T05:29:00Z</dcterms:created>
  <dcterms:modified xsi:type="dcterms:W3CDTF">2017-03-04T11:37:00Z</dcterms:modified>
</cp:coreProperties>
</file>